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/>
        <w:rPr>
          <w:rFonts w:hint="default" w:ascii="黑体" w:hAnsi="黑体" w:eastAsia="黑体" w:cs="Times New Roman"/>
          <w:sz w:val="32"/>
          <w:szCs w:val="32"/>
        </w:rPr>
      </w:pPr>
      <w:r>
        <w:rPr>
          <w:rFonts w:ascii="黑体" w:hAnsi="黑体" w:eastAsia="黑体" w:cs="Times New Roman"/>
          <w:sz w:val="32"/>
          <w:szCs w:val="32"/>
        </w:rPr>
        <w:t>附件</w:t>
      </w:r>
      <w:r>
        <w:rPr>
          <w:rFonts w:hint="default" w:ascii="黑体" w:hAnsi="黑体" w:eastAsia="黑体" w:cs="Times New Roman"/>
          <w:sz w:val="32"/>
          <w:szCs w:val="32"/>
        </w:rPr>
        <w:t>1</w:t>
      </w:r>
    </w:p>
    <w:p>
      <w:pPr>
        <w:pStyle w:val="2"/>
        <w:spacing w:line="600" w:lineRule="exact"/>
        <w:ind w:firstLine="0"/>
        <w:rPr>
          <w:rFonts w:hint="default" w:ascii="黑体" w:hAnsi="黑体" w:eastAsia="黑体" w:cs="Times New Roman"/>
          <w:sz w:val="32"/>
          <w:szCs w:val="32"/>
        </w:rPr>
      </w:pPr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宋体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仿宋_GB2312" w:cs="宋体"/>
          <w:b/>
          <w:bCs/>
          <w:sz w:val="44"/>
          <w:szCs w:val="44"/>
        </w:rPr>
        <w:t>2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年度金鸡湖合伙人计划项目服务清单</w:t>
      </w:r>
    </w:p>
    <w:p>
      <w:pPr>
        <w:jc w:val="center"/>
        <w:rPr>
          <w:rFonts w:ascii="华文中宋" w:hAnsi="华文中宋" w:eastAsia="华文中宋" w:cs="华文中宋"/>
          <w:szCs w:val="21"/>
        </w:rPr>
      </w:pPr>
    </w:p>
    <w:p>
      <w:pPr>
        <w:jc w:val="center"/>
        <w:rPr>
          <w:rFonts w:ascii="华文中宋" w:hAnsi="华文中宋" w:eastAsia="华文中宋" w:cs="华文中宋"/>
          <w:szCs w:val="21"/>
        </w:rPr>
      </w:pP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仿宋_GB2312" w:eastAsia="黑体" w:cs="Times New Roman"/>
          <w:bCs/>
          <w:sz w:val="32"/>
          <w:szCs w:val="32"/>
          <w:lang w:val="en-US" w:eastAsia="zh-Hans"/>
        </w:rPr>
        <w:t>一</w:t>
      </w:r>
      <w:r>
        <w:rPr>
          <w:rFonts w:hint="eastAsia" w:ascii="黑体" w:hAnsi="仿宋_GB2312" w:eastAsia="黑体" w:cs="Times New Roman"/>
          <w:bCs/>
          <w:sz w:val="32"/>
          <w:szCs w:val="32"/>
        </w:rPr>
        <w:t>、头部机构服务清单</w:t>
      </w:r>
    </w:p>
    <w:p>
      <w:pPr>
        <w:spacing w:line="600" w:lineRule="exact"/>
        <w:ind w:firstLine="641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" w:eastAsia="楷体_GB2312" w:cs="楷体"/>
          <w:b/>
          <w:sz w:val="32"/>
          <w:szCs w:val="32"/>
        </w:rPr>
        <w:t>（一）中国（苏州）知识产权保护中心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陶波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 xml:space="preserve">咨询：13771700623 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邮箱：2978601132@qq.com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宋体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为企业专利申请提供快速预审服务，帮助企业提升专利申请质量，缩短授权周期；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宋体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提供海外知识产权纠纷、“</w:t>
      </w:r>
      <w:r>
        <w:rPr>
          <w:rFonts w:hint="eastAsia" w:ascii="Times New Roman" w:hAnsi="Times New Roman" w:eastAsia="仿宋_GB2312" w:cs="宋体"/>
          <w:sz w:val="32"/>
          <w:szCs w:val="32"/>
        </w:rPr>
        <w:t>337</w:t>
      </w:r>
      <w:r>
        <w:rPr>
          <w:rFonts w:hint="eastAsia" w:ascii="仿宋_GB2312" w:hAnsi="仿宋_GB2312" w:eastAsia="仿宋_GB2312" w:cs="仿宋_GB2312"/>
          <w:sz w:val="32"/>
          <w:szCs w:val="32"/>
        </w:rPr>
        <w:t>调查”应对指导；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宋体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定期提供专家现场咨询答疑服务。</w:t>
      </w:r>
    </w:p>
    <w:p>
      <w:pPr>
        <w:spacing w:line="600" w:lineRule="exact"/>
        <w:ind w:firstLine="641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（二）苏州银行股份有限公司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</w:rPr>
        <w:t>：闻博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</w:rPr>
        <w:t>咨询：13739169666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</w:rPr>
        <w:t>邮箱：wenb@suzhoubank.com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1.针对入库企业提供专享人才贷，额度可至3000万元，最低可享受不超过LPR的优惠利率；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2.针对入库企业提供配套“智改数转”专项贷款，额度可至5000万元，最低可享受不超过LPR的优惠利率；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3.提供人才个人住房贷款优惠，可较市场平均按揭利率下调40个基点（不低于监管规定），享受绿色信贷通道；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4.提供个人信用消费贷款优惠，可较市场平均消贷利率下调至多70个基点（不低于监管规定），额度可至100万元；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5.提供金融机构贵宾服务、一对一VIP财富管家服务、三甲医院专业医疗绿色服务通道（赠送1次）、免费子女留学规划、积分可兑换机场贵宾厅礼遇、家政服务（1次）、时令蔬果礼盒、星巴克、麦当劳、盒马代金券等商品。</w:t>
      </w:r>
    </w:p>
    <w:p>
      <w:pPr>
        <w:pStyle w:val="8"/>
        <w:spacing w:line="600" w:lineRule="exact"/>
        <w:ind w:firstLine="643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（三）东吴证券股份有限公司</w:t>
      </w:r>
    </w:p>
    <w:p>
      <w:pPr>
        <w:pStyle w:val="8"/>
        <w:spacing w:line="60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机构专员：顾轶高</w:t>
      </w:r>
    </w:p>
    <w:p>
      <w:pPr>
        <w:pStyle w:val="8"/>
        <w:spacing w:line="60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服务咨询：13771952266</w:t>
      </w:r>
    </w:p>
    <w:p>
      <w:pPr>
        <w:pStyle w:val="8"/>
        <w:spacing w:line="60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联系邮箱：ssl_guyg@dwzq.com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1.针对企业上市，提供IPO最近政策解析及拟上市企业早期资本战略规划；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2.针对企业上市，提供企业股权架构搭建与内部资产重组咨询建议；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3.针对上市公司，提供产业链并购咨询和规划；</w:t>
      </w:r>
    </w:p>
    <w:p>
      <w:pPr>
        <w:pStyle w:val="8"/>
        <w:spacing w:line="600" w:lineRule="exact"/>
        <w:ind w:firstLine="643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4.针对上市公司或实控人，联系协同各金融机构，提供个性化、结构化融资方案。</w:t>
      </w:r>
    </w:p>
    <w:p>
      <w:pPr>
        <w:pStyle w:val="8"/>
        <w:spacing w:line="600" w:lineRule="exact"/>
        <w:ind w:firstLine="643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（四）苏州元禾控股有限公司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</w:rPr>
        <w:t>：王天久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</w:rPr>
        <w:t>咨询：18662211090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</w:rPr>
        <w:t>邮箱：wangtj@oriza.com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1.优先对符合条件的企业提供“股权+债权”联动组合式的专属投融资一体化方案；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2.提供一对一投融资策略咨询，专场投融资对接服务；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3.对接产业交流会、私董会等，促进产业合作。</w:t>
      </w:r>
    </w:p>
    <w:p>
      <w:pPr>
        <w:spacing w:line="600" w:lineRule="exact"/>
        <w:ind w:firstLine="641" w:firstLineChars="200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  <w:t>（五）苏州民营资本投资控股有限公司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：潘子泓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咨询：18994430386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邮箱：panzihong@kingtoncap.com</w:t>
      </w:r>
    </w:p>
    <w:p>
      <w:pPr>
        <w:pStyle w:val="8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1.中早期科技企业股权投资；</w:t>
      </w:r>
    </w:p>
    <w:p>
      <w:pPr>
        <w:pStyle w:val="8"/>
        <w:spacing w:line="600" w:lineRule="exact"/>
        <w:ind w:firstLine="64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2.帮助入库企业梳理投资市场概况，精准匹配投资人；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3.提供企业融资规划与辅导，公司治理与规范运营等。</w:t>
      </w:r>
    </w:p>
    <w:p>
      <w:pPr>
        <w:pStyle w:val="8"/>
        <w:spacing w:line="600" w:lineRule="exact"/>
        <w:ind w:firstLine="643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  <w:t>（六）毕马威会计事务所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李艳艳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</w:rPr>
        <w:t>咨询：13764503229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</w:rPr>
        <w:t>邮箱：vicky.y.li@kpmg.com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1.为企业提供年度财税顾问、股权激励方案设计与优化、研发费用的财税处理指导服务；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Hans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为入库企业提供完善财税健康检查服务、定制化的财税健康检查报告；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.为企业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或投资机构提供前期融资过程中的财务尽职调查；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.为企业推荐境内外并购标的，提供并购相关的财务、税务及商业尽职调查、并购税务架构设计、并购后整合估值服务；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针对入库企业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Hans"/>
        </w:rPr>
        <w:t>签订的服务合同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，最高按照四大会计师事务所标准收费费率的</w:t>
      </w:r>
      <w:r>
        <w:rPr>
          <w:rFonts w:hint="eastAsia" w:ascii="Times New Roman" w:hAnsi="Times New Roman" w:eastAsia="仿宋_GB2312" w:cs="宋体"/>
          <w:sz w:val="32"/>
          <w:szCs w:val="32"/>
        </w:rPr>
        <w:t>80%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比例进行补贴，补贴额度上限</w:t>
      </w:r>
      <w:r>
        <w:rPr>
          <w:rFonts w:hint="eastAsia" w:ascii="Times New Roman" w:hAnsi="Times New Roman" w:eastAsia="仿宋_GB2312" w:cs="宋体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万元。</w:t>
      </w:r>
    </w:p>
    <w:p>
      <w:pPr>
        <w:spacing w:line="600" w:lineRule="exact"/>
        <w:ind w:firstLine="641" w:firstLineChars="200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  <w:t>（七）苏州工业园区城市重建有限公司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机构专员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：史超奇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服务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咨询：18662589690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联系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邮箱：scq@sipurd.com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1.提供优先享有重建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lang w:eastAsia="zh-Hans"/>
        </w:rPr>
        <w:t>公司旗下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人才公寓（E-HOME共享家、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Hans"/>
        </w:rPr>
        <w:t>可胜可利公寓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Hans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Hans"/>
        </w:rPr>
        <w:t>现代服务广场公寓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Hans"/>
        </w:rPr>
        <w:t>，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可享受园区虚拟优租房政策）租赁权，价格从优；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2.提供重建</w:t>
      </w:r>
      <w:r>
        <w:rPr>
          <w:rFonts w:ascii="Times New Roman" w:hAnsi="Times New Roman" w:eastAsia="仿宋_GB2312" w:cs="Times New Roman"/>
          <w:sz w:val="32"/>
          <w:szCs w:val="32"/>
          <w:highlight w:val="none"/>
          <w:lang w:eastAsia="zh-Hans"/>
        </w:rPr>
        <w:t>公司旗下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载体（涵盖厂房、研发办公、精装办公)，合伙人计划企业拥有优先租赁权；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3.每季度可提供一次免费活动场所（场地最多可容纳50人）。</w:t>
      </w:r>
    </w:p>
    <w:p>
      <w:pPr>
        <w:spacing w:line="600" w:lineRule="exact"/>
        <w:ind w:firstLine="641" w:firstLineChars="200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（八）苏州工业园区人力资源管理服务中心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机构专员：张岩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服务咨询：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0512-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66605797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联系邮箱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instrText xml:space="preserve"> HYPERLINK "mailto:zhangy@o-hr.cn" </w:instrTex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zhangy@o-hr.cn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fldChar w:fldCharType="end"/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1.圆才网线上招聘专栏宣传2周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2.“金鸡湖合伙人计划企业”线下招聘专场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3.招才引智校园行专场说明会，优先开放报名通道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4.“智汇营”线下公开课任选2门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“圆点学社”在线学习账号5个/家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.《苏州市重点行业薪酬福利调研报告综合版》1本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6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.年度人力资源趋势及薪酬调研成果专场分享会1场（线下）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季度调研闭门分享会4次（线上或线下）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7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.年度一对一人力资源管理顾问专线服务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人才公共事务VIP专窗和VIP专线咨询服务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.优先参与海外青年就业实习项目（职通SIP），并在海外学校进行企业推广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val="en-US" w:eastAsia="zh-Hans"/>
        </w:rPr>
        <w:t>二</w:t>
      </w:r>
      <w:r>
        <w:rPr>
          <w:rFonts w:ascii="Times New Roman" w:hAnsi="Times New Roman" w:eastAsia="黑体" w:cs="Times New Roman"/>
          <w:bCs/>
          <w:sz w:val="32"/>
          <w:szCs w:val="32"/>
        </w:rPr>
        <w:t>、培训项目服务清单</w:t>
      </w:r>
    </w:p>
    <w:p>
      <w:pPr>
        <w:spacing w:line="600" w:lineRule="exact"/>
        <w:ind w:firstLine="641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  <w:t>（一）领袖培优培训班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对象：创始人（含联合）、CEO、董事等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人数：每家企业限报2人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方向：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针对企业家的大势研判、战略迷茫、组织效率、融资创新、风险规避、供应链维稳等共性需求，通过实战课程帮助企业家夯实经营管理、资本规划、风险防控等管理能力。并通过供需交流、主题私董、标杆参访、社群团建等特色活动，建立常态化的互助合作机制，深度推动人才融通发展。</w:t>
      </w:r>
    </w:p>
    <w:p>
      <w:pPr>
        <w:spacing w:line="600" w:lineRule="exact"/>
        <w:ind w:firstLine="641" w:firstLineChars="200"/>
        <w:jc w:val="left"/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/>
          <w:sz w:val="32"/>
          <w:szCs w:val="32"/>
          <w:highlight w:val="none"/>
        </w:rPr>
        <w:t>（二）团队赋能培训班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对象：创始人及核心高管团队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人数：每家企业限报4-6人</w:t>
      </w:r>
    </w:p>
    <w:p>
      <w:pPr>
        <w:spacing w:line="600" w:lineRule="exact"/>
        <w:ind w:firstLine="640" w:firstLineChars="200"/>
        <w:rPr>
          <w:highlight w:val="none"/>
        </w:rPr>
      </w:pP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方向：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针对企业一把手及一线高管领导团队的全局意识薄弱、上下级沟通不畅、“部门墙”问题严重、团队执行力低、领导力不足和组织管理模式落后等问题，通过团队式会诊和学习，提升领导者团队管理水平，增强团队凝聚力，达到团队认知同频，打造高效协同团队，实现持续发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楷体">
    <w:altName w:val="汉仪楷体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F33F0"/>
    <w:rsid w:val="3DBF03B4"/>
    <w:rsid w:val="3DE5D97B"/>
    <w:rsid w:val="3FAF79AC"/>
    <w:rsid w:val="47FFC27E"/>
    <w:rsid w:val="58C6DDC7"/>
    <w:rsid w:val="67FDA6B3"/>
    <w:rsid w:val="76FBD4FA"/>
    <w:rsid w:val="7BE18ACF"/>
    <w:rsid w:val="7DFFC2DD"/>
    <w:rsid w:val="7FE5593F"/>
    <w:rsid w:val="7FEF0448"/>
    <w:rsid w:val="97DD9F7C"/>
    <w:rsid w:val="ADFF9F13"/>
    <w:rsid w:val="BFF603F8"/>
    <w:rsid w:val="CDD1C65C"/>
    <w:rsid w:val="F69F51F5"/>
    <w:rsid w:val="F6FEA5DA"/>
    <w:rsid w:val="FCE9103B"/>
    <w:rsid w:val="FFEF3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425"/>
    </w:pPr>
    <w:rPr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2021-09-04T01:55:00Z</dcterms:created>
  <dc:creator>lee</dc:creator>
  <cp:lastModifiedBy>谭爬籽上行</cp:lastModifiedBy>
  <dcterms:modified xsi:type="dcterms:W3CDTF">2022-08-16T14:41:49Z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1184FB1757825C7D77EFFA62200E969B</vt:lpwstr>
  </property>
</Properties>
</file>